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9F" w:rsidRDefault="00257E9F" w:rsidP="0025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ОТДЕЛ ОБРАЗОВАНИЯ</w:t>
      </w:r>
    </w:p>
    <w:p w:rsidR="00257E9F" w:rsidRDefault="00257E9F" w:rsidP="00257E9F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АДМИНИСТРАЦИИ ГОРОДА СЕЛЬЦО БРЯНСКОЙ ОБЛАСТИ</w:t>
      </w:r>
    </w:p>
    <w:p w:rsidR="00257E9F" w:rsidRDefault="00257E9F" w:rsidP="0025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57E9F" w:rsidRDefault="00257E9F" w:rsidP="0025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ПРИКАЗ</w:t>
      </w:r>
    </w:p>
    <w:p w:rsidR="00257E9F" w:rsidRDefault="00257E9F" w:rsidP="00257E9F">
      <w:pPr>
        <w:ind w:left="-180"/>
      </w:pPr>
      <w:r>
        <w:t xml:space="preserve">                                                             </w:t>
      </w:r>
    </w:p>
    <w:p w:rsidR="00257E9F" w:rsidRDefault="00257E9F" w:rsidP="00257E9F">
      <w:pPr>
        <w:ind w:left="-180"/>
      </w:pPr>
    </w:p>
    <w:p w:rsidR="00257E9F" w:rsidRDefault="00257E9F" w:rsidP="00257E9F">
      <w:pPr>
        <w:ind w:left="-180"/>
      </w:pPr>
      <w:r>
        <w:t xml:space="preserve">от  </w:t>
      </w:r>
      <w:r>
        <w:t>22</w:t>
      </w:r>
      <w:r>
        <w:t xml:space="preserve">     июня   2017 года</w:t>
      </w:r>
      <w:r>
        <w:tab/>
      </w:r>
      <w:r>
        <w:tab/>
      </w:r>
      <w:r>
        <w:t>№133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57E9F" w:rsidRDefault="00257E9F" w:rsidP="00257E9F">
      <w:pPr>
        <w:ind w:left="-180"/>
      </w:pPr>
    </w:p>
    <w:p w:rsidR="00257E9F" w:rsidRDefault="00257E9F" w:rsidP="00257E9F">
      <w:pPr>
        <w:ind w:left="-180"/>
      </w:pPr>
      <w:r>
        <w:t>г. Сельцо</w:t>
      </w:r>
    </w:p>
    <w:p w:rsidR="00257E9F" w:rsidRDefault="00257E9F" w:rsidP="00257E9F">
      <w:pPr>
        <w:ind w:left="-180"/>
        <w:jc w:val="both"/>
        <w:rPr>
          <w:szCs w:val="28"/>
        </w:rPr>
      </w:pPr>
      <w:r>
        <w:t xml:space="preserve">О внесении изменений  в Приказ </w:t>
      </w:r>
      <w:r>
        <w:rPr>
          <w:szCs w:val="28"/>
        </w:rPr>
        <w:t>Отдела</w:t>
      </w:r>
    </w:p>
    <w:p w:rsidR="00257E9F" w:rsidRDefault="00257E9F" w:rsidP="00257E9F">
      <w:pPr>
        <w:ind w:left="-180"/>
        <w:jc w:val="both"/>
        <w:rPr>
          <w:szCs w:val="28"/>
        </w:rPr>
      </w:pPr>
      <w:r>
        <w:rPr>
          <w:szCs w:val="28"/>
        </w:rPr>
        <w:t xml:space="preserve"> образования администрации г. Сельцо</w:t>
      </w:r>
    </w:p>
    <w:p w:rsidR="00257E9F" w:rsidRDefault="00257E9F" w:rsidP="00257E9F">
      <w:pPr>
        <w:ind w:left="-180"/>
        <w:rPr>
          <w:szCs w:val="28"/>
        </w:rPr>
      </w:pPr>
      <w:r>
        <w:t>от 01.09.2016 № 165 «</w:t>
      </w:r>
      <w:r>
        <w:rPr>
          <w:szCs w:val="28"/>
        </w:rPr>
        <w:t xml:space="preserve">Об утверждении методики </w:t>
      </w:r>
    </w:p>
    <w:p w:rsidR="00257E9F" w:rsidRDefault="00257E9F" w:rsidP="00257E9F">
      <w:pPr>
        <w:ind w:left="-180"/>
        <w:rPr>
          <w:szCs w:val="28"/>
        </w:rPr>
      </w:pPr>
      <w:r>
        <w:rPr>
          <w:szCs w:val="28"/>
        </w:rPr>
        <w:t>прогнозирования поступлений доходов в бюджет</w:t>
      </w:r>
    </w:p>
    <w:p w:rsidR="00257E9F" w:rsidRDefault="00257E9F" w:rsidP="00257E9F">
      <w:pPr>
        <w:ind w:left="-180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Сельцовского</w:t>
      </w:r>
      <w:proofErr w:type="spellEnd"/>
      <w:r>
        <w:rPr>
          <w:szCs w:val="28"/>
        </w:rPr>
        <w:t xml:space="preserve"> городского округа, администрируемых </w:t>
      </w:r>
    </w:p>
    <w:p w:rsidR="00257E9F" w:rsidRDefault="00257E9F" w:rsidP="00257E9F">
      <w:pPr>
        <w:ind w:left="-180"/>
        <w:jc w:val="both"/>
        <w:rPr>
          <w:szCs w:val="28"/>
        </w:rPr>
      </w:pPr>
      <w:r>
        <w:rPr>
          <w:szCs w:val="28"/>
        </w:rPr>
        <w:t>Отделом образования администрации г. Сельцо»</w:t>
      </w:r>
    </w:p>
    <w:p w:rsidR="00257E9F" w:rsidRDefault="00257E9F" w:rsidP="00257E9F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257E9F" w:rsidRDefault="00257E9F" w:rsidP="00257E9F">
      <w:pPr>
        <w:ind w:left="-180" w:firstLine="888"/>
        <w:jc w:val="both"/>
        <w:rPr>
          <w:szCs w:val="28"/>
        </w:rPr>
      </w:pPr>
      <w:r>
        <w:rPr>
          <w:szCs w:val="28"/>
        </w:rPr>
        <w:t>В соответствии с пунктом 1 статьи 160.1 Бюджетного кодекса Российской Федерации, руководствуясь Постановлением Правительства Российской Федерации от 11апреля 2017 г. N 436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 внесении изменений в постановление правительства Российской Федерации от 23 июня 2016года№574 «Об общих требованиях к методике прогнозирования поступлений доходов в бюджеты бюджетной системы  Российской Федерации», </w:t>
      </w:r>
    </w:p>
    <w:p w:rsidR="00257E9F" w:rsidRDefault="00257E9F" w:rsidP="00257E9F">
      <w:pPr>
        <w:ind w:left="-180" w:firstLine="888"/>
        <w:jc w:val="both"/>
        <w:rPr>
          <w:szCs w:val="28"/>
        </w:rPr>
      </w:pPr>
      <w:r>
        <w:rPr>
          <w:szCs w:val="28"/>
        </w:rPr>
        <w:t>..</w:t>
      </w:r>
    </w:p>
    <w:p w:rsidR="00257E9F" w:rsidRDefault="00257E9F" w:rsidP="00257E9F">
      <w:pPr>
        <w:ind w:left="-180"/>
        <w:rPr>
          <w:szCs w:val="28"/>
        </w:rPr>
      </w:pPr>
      <w:r>
        <w:rPr>
          <w:szCs w:val="28"/>
        </w:rPr>
        <w:t>ПРИКАЗЫВАЮ:</w:t>
      </w:r>
    </w:p>
    <w:p w:rsidR="00257E9F" w:rsidRDefault="00257E9F" w:rsidP="00257E9F">
      <w:pPr>
        <w:ind w:left="-180"/>
        <w:rPr>
          <w:szCs w:val="28"/>
        </w:rPr>
      </w:pPr>
      <w:r>
        <w:rPr>
          <w:szCs w:val="28"/>
        </w:rPr>
        <w:t xml:space="preserve"> </w:t>
      </w:r>
    </w:p>
    <w:p w:rsidR="00257E9F" w:rsidRDefault="00257E9F" w:rsidP="00257E9F">
      <w:pPr>
        <w:ind w:left="-180"/>
        <w:jc w:val="both"/>
        <w:rPr>
          <w:szCs w:val="28"/>
        </w:rPr>
      </w:pPr>
      <w:r>
        <w:rPr>
          <w:szCs w:val="28"/>
        </w:rPr>
        <w:t xml:space="preserve"> 1.Приложение 1  Приказа Отдела  образования администрации г. Сельцо </w:t>
      </w:r>
      <w:r>
        <w:t>от 01.09.2016 № 165 «</w:t>
      </w:r>
      <w:r>
        <w:rPr>
          <w:szCs w:val="28"/>
        </w:rPr>
        <w:t xml:space="preserve">Об утверждении методики прогнозирования поступлений доходов в бюджет </w:t>
      </w:r>
      <w:proofErr w:type="spellStart"/>
      <w:r>
        <w:rPr>
          <w:szCs w:val="28"/>
        </w:rPr>
        <w:t>Сельцовского</w:t>
      </w:r>
      <w:proofErr w:type="spellEnd"/>
      <w:r>
        <w:rPr>
          <w:szCs w:val="28"/>
        </w:rPr>
        <w:t xml:space="preserve"> городского округа, администрируемых Отделом образования администрации г. Сельцо»  изложить в новой редакции.</w:t>
      </w:r>
    </w:p>
    <w:p w:rsidR="00257E9F" w:rsidRDefault="00257E9F" w:rsidP="00257E9F">
      <w:pPr>
        <w:ind w:left="-180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 xml:space="preserve">2.В случае внесения изменений в законодательные и иные нормативные правовые акты в части формирования и прогнозирования доходов бюджетов бюджетной системы Российской Федерации отдел образования администрации г. Сельцо, осуществляющий бюджетные полномочия главного администратора доходов бюджета </w:t>
      </w:r>
      <w:proofErr w:type="spellStart"/>
      <w:r>
        <w:rPr>
          <w:szCs w:val="28"/>
        </w:rPr>
        <w:t>Сельцовского</w:t>
      </w:r>
      <w:proofErr w:type="spellEnd"/>
      <w:r>
        <w:rPr>
          <w:szCs w:val="28"/>
        </w:rPr>
        <w:t xml:space="preserve"> городского округа, в 2-месячный срок после вступления соответствующих изменений в силу принимает правовые акты о внесении изменений в методики прогнозирования поступлений доходов в бюджет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Сельцовского</w:t>
      </w:r>
      <w:proofErr w:type="spellEnd"/>
      <w:r>
        <w:rPr>
          <w:szCs w:val="28"/>
        </w:rPr>
        <w:t xml:space="preserve"> городского округа, администрируемых отделом образования администрации г. Сельцо.</w:t>
      </w:r>
    </w:p>
    <w:p w:rsidR="00257E9F" w:rsidRDefault="00257E9F" w:rsidP="00257E9F">
      <w:pPr>
        <w:ind w:left="-180"/>
        <w:jc w:val="both"/>
        <w:rPr>
          <w:szCs w:val="28"/>
        </w:rPr>
      </w:pPr>
      <w:r>
        <w:rPr>
          <w:szCs w:val="28"/>
        </w:rPr>
        <w:t xml:space="preserve">      3. Опубликовать Приказ на официальном сайте  в сети Интернет.</w:t>
      </w:r>
    </w:p>
    <w:p w:rsidR="00257E9F" w:rsidRDefault="00257E9F" w:rsidP="00257E9F">
      <w:pPr>
        <w:ind w:left="-180"/>
        <w:jc w:val="both"/>
        <w:rPr>
          <w:szCs w:val="28"/>
        </w:rPr>
      </w:pPr>
      <w:r>
        <w:rPr>
          <w:szCs w:val="28"/>
        </w:rPr>
        <w:t xml:space="preserve">       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главного бухгалтера отдела образования администрации города Сельцо </w:t>
      </w:r>
      <w:proofErr w:type="spellStart"/>
      <w:r>
        <w:rPr>
          <w:szCs w:val="28"/>
        </w:rPr>
        <w:t>Сердюкову</w:t>
      </w:r>
      <w:proofErr w:type="spellEnd"/>
      <w:r>
        <w:rPr>
          <w:szCs w:val="28"/>
        </w:rPr>
        <w:t xml:space="preserve"> Н.И.</w:t>
      </w:r>
    </w:p>
    <w:p w:rsidR="00257E9F" w:rsidRDefault="00257E9F" w:rsidP="0025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57E9F" w:rsidRDefault="00257E9F" w:rsidP="0025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отдела образования</w:t>
      </w:r>
    </w:p>
    <w:p w:rsidR="00257E9F" w:rsidRPr="00257E9F" w:rsidRDefault="00257E9F" w:rsidP="0025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ельцо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Соничева</w:t>
      </w:r>
      <w:proofErr w:type="spellEnd"/>
    </w:p>
    <w:p w:rsidR="00257E9F" w:rsidRDefault="00257E9F" w:rsidP="00257E9F">
      <w:pPr>
        <w:ind w:left="-180"/>
      </w:pPr>
    </w:p>
    <w:p w:rsidR="00257E9F" w:rsidRDefault="00257E9F" w:rsidP="00257E9F">
      <w:pPr>
        <w:jc w:val="right"/>
        <w:rPr>
          <w:color w:val="0000FF"/>
        </w:rPr>
      </w:pPr>
      <w:r>
        <w:rPr>
          <w:color w:val="0000FF"/>
        </w:rPr>
        <w:t xml:space="preserve">                               </w:t>
      </w:r>
    </w:p>
    <w:p w:rsidR="00257E9F" w:rsidRPr="00257E9F" w:rsidRDefault="00257E9F" w:rsidP="00257E9F">
      <w:pPr>
        <w:jc w:val="right"/>
        <w:rPr>
          <w:sz w:val="24"/>
          <w:szCs w:val="24"/>
        </w:rPr>
      </w:pPr>
      <w:r>
        <w:t xml:space="preserve">        </w:t>
      </w:r>
      <w:r w:rsidRPr="00257E9F">
        <w:rPr>
          <w:sz w:val="24"/>
          <w:szCs w:val="24"/>
        </w:rPr>
        <w:t>Приложение №1</w:t>
      </w:r>
    </w:p>
    <w:p w:rsidR="00257E9F" w:rsidRPr="00257E9F" w:rsidRDefault="00257E9F" w:rsidP="00257E9F">
      <w:pPr>
        <w:jc w:val="center"/>
        <w:rPr>
          <w:sz w:val="24"/>
          <w:szCs w:val="24"/>
        </w:rPr>
      </w:pPr>
      <w:r w:rsidRPr="00257E9F">
        <w:rPr>
          <w:sz w:val="24"/>
          <w:szCs w:val="24"/>
        </w:rPr>
        <w:t xml:space="preserve">                                                         к Приказу Отдела образования</w:t>
      </w:r>
    </w:p>
    <w:p w:rsidR="00257E9F" w:rsidRPr="00257E9F" w:rsidRDefault="00257E9F" w:rsidP="00257E9F">
      <w:pPr>
        <w:jc w:val="center"/>
        <w:rPr>
          <w:sz w:val="24"/>
          <w:szCs w:val="24"/>
        </w:rPr>
      </w:pPr>
      <w:r w:rsidRPr="00257E9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257E9F">
        <w:rPr>
          <w:sz w:val="24"/>
          <w:szCs w:val="24"/>
        </w:rPr>
        <w:t xml:space="preserve">администрации г. Сельцо  от </w:t>
      </w:r>
      <w:r w:rsidRPr="00257E9F">
        <w:rPr>
          <w:sz w:val="24"/>
          <w:szCs w:val="24"/>
        </w:rPr>
        <w:t>22 июня</w:t>
      </w:r>
      <w:r w:rsidRPr="00257E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2017 г         </w:t>
      </w:r>
      <w:r w:rsidRPr="00257E9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</w:p>
    <w:p w:rsidR="00257E9F" w:rsidRDefault="00257E9F" w:rsidP="00257E9F">
      <w:r>
        <w:t xml:space="preserve">    </w:t>
      </w:r>
      <w:r>
        <w:t xml:space="preserve">                                                                                                                     № 133</w:t>
      </w:r>
      <w:bookmarkStart w:id="0" w:name="_GoBack"/>
      <w:bookmarkEnd w:id="0"/>
    </w:p>
    <w:p w:rsidR="00257E9F" w:rsidRDefault="00257E9F" w:rsidP="00257E9F"/>
    <w:p w:rsidR="00257E9F" w:rsidRDefault="00257E9F" w:rsidP="00257E9F">
      <w:pPr>
        <w:ind w:left="-180"/>
        <w:jc w:val="center"/>
        <w:rPr>
          <w:color w:val="0000FF"/>
          <w:szCs w:val="28"/>
        </w:rPr>
      </w:pPr>
      <w:r>
        <w:rPr>
          <w:color w:val="0000FF"/>
          <w:szCs w:val="28"/>
        </w:rPr>
        <w:t xml:space="preserve">Методика прогнозирования поступлений доходов в бюджет </w:t>
      </w:r>
      <w:proofErr w:type="spellStart"/>
      <w:r>
        <w:rPr>
          <w:color w:val="0000FF"/>
          <w:szCs w:val="28"/>
        </w:rPr>
        <w:t>Сельцовского</w:t>
      </w:r>
      <w:proofErr w:type="spellEnd"/>
    </w:p>
    <w:p w:rsidR="00257E9F" w:rsidRDefault="00257E9F" w:rsidP="00257E9F">
      <w:pPr>
        <w:ind w:left="-180"/>
        <w:jc w:val="center"/>
        <w:rPr>
          <w:color w:val="0000FF"/>
          <w:szCs w:val="28"/>
        </w:rPr>
      </w:pPr>
      <w:r>
        <w:rPr>
          <w:color w:val="0000FF"/>
          <w:szCs w:val="28"/>
        </w:rPr>
        <w:t xml:space="preserve">городского округа, администрируемых Отделом образования администрации </w:t>
      </w:r>
    </w:p>
    <w:p w:rsidR="00257E9F" w:rsidRDefault="00257E9F" w:rsidP="00257E9F">
      <w:pPr>
        <w:ind w:left="-180"/>
        <w:jc w:val="center"/>
        <w:rPr>
          <w:color w:val="0000FF"/>
          <w:szCs w:val="28"/>
        </w:rPr>
      </w:pPr>
      <w:r>
        <w:rPr>
          <w:color w:val="0000FF"/>
          <w:szCs w:val="28"/>
        </w:rPr>
        <w:t>г. Сельцо</w:t>
      </w:r>
    </w:p>
    <w:p w:rsidR="00257E9F" w:rsidRDefault="00257E9F" w:rsidP="00257E9F">
      <w:pPr>
        <w:ind w:firstLine="851"/>
        <w:jc w:val="both"/>
        <w:rPr>
          <w:color w:val="0000FF"/>
          <w:szCs w:val="28"/>
        </w:rPr>
      </w:pPr>
      <w:r>
        <w:rPr>
          <w:color w:val="0000FF"/>
          <w:szCs w:val="28"/>
        </w:rPr>
        <w:t xml:space="preserve">                             </w:t>
      </w:r>
    </w:p>
    <w:p w:rsidR="00257E9F" w:rsidRDefault="00257E9F" w:rsidP="00257E9F">
      <w:pPr>
        <w:numPr>
          <w:ilvl w:val="0"/>
          <w:numId w:val="1"/>
        </w:numPr>
        <w:jc w:val="both"/>
        <w:rPr>
          <w:color w:val="0000FF"/>
          <w:szCs w:val="28"/>
        </w:rPr>
      </w:pPr>
      <w:r>
        <w:rPr>
          <w:color w:val="0000FF"/>
          <w:szCs w:val="28"/>
        </w:rPr>
        <w:t>Общее положение.</w:t>
      </w:r>
    </w:p>
    <w:p w:rsidR="00257E9F" w:rsidRDefault="00257E9F" w:rsidP="00257E9F">
      <w:pPr>
        <w:ind w:firstLine="851"/>
        <w:jc w:val="both"/>
        <w:rPr>
          <w:color w:val="0000FF"/>
          <w:szCs w:val="28"/>
        </w:rPr>
      </w:pPr>
      <w:r>
        <w:rPr>
          <w:color w:val="0000FF"/>
          <w:szCs w:val="28"/>
        </w:rPr>
        <w:t xml:space="preserve">1. </w:t>
      </w:r>
      <w:proofErr w:type="gramStart"/>
      <w:r>
        <w:rPr>
          <w:color w:val="0000FF"/>
          <w:szCs w:val="28"/>
        </w:rPr>
        <w:t xml:space="preserve">Настоящая методика прогнозирования поступлений доходов в бюджет </w:t>
      </w:r>
      <w:proofErr w:type="spellStart"/>
      <w:r>
        <w:rPr>
          <w:color w:val="0000FF"/>
          <w:szCs w:val="28"/>
        </w:rPr>
        <w:t>Сельцовского</w:t>
      </w:r>
      <w:proofErr w:type="spellEnd"/>
      <w:r>
        <w:rPr>
          <w:color w:val="0000FF"/>
          <w:szCs w:val="28"/>
        </w:rPr>
        <w:t xml:space="preserve"> городского округа, администрируемых Отделом образования администрации г. Сельцо подготовлена в целях реализации полномочий главного администратора доходов бюджета </w:t>
      </w:r>
      <w:proofErr w:type="spellStart"/>
      <w:r>
        <w:rPr>
          <w:color w:val="0000FF"/>
          <w:szCs w:val="28"/>
        </w:rPr>
        <w:t>Сельцовского</w:t>
      </w:r>
      <w:proofErr w:type="spellEnd"/>
      <w:r>
        <w:rPr>
          <w:color w:val="0000FF"/>
          <w:szCs w:val="28"/>
        </w:rPr>
        <w:t xml:space="preserve"> городского округа в части прогнозирования поступлений по закрепленным за Отделом образования администрации г. Сельцо доходам.</w:t>
      </w:r>
      <w:proofErr w:type="gramEnd"/>
    </w:p>
    <w:p w:rsidR="00257E9F" w:rsidRDefault="00257E9F" w:rsidP="00257E9F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2. Целью настоящей Методики является повышение качества планирования бюджета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городского округа. </w:t>
      </w:r>
    </w:p>
    <w:p w:rsidR="00257E9F" w:rsidRDefault="00257E9F" w:rsidP="00257E9F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3. 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в случае, если такой объем расходов определен.</w:t>
      </w:r>
    </w:p>
    <w:p w:rsidR="00257E9F" w:rsidRDefault="00257E9F" w:rsidP="00257E9F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4. В целях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соблюдения точности прогнозирования доходной части бюджета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городского округа, при изменении сценарных условий прогноза социально-экономического развития, бюджетного и налогового законодательства и иных качественных изменений и факторов, которые могут оказать влияние на показатели объемов прогнозируемых доходов бюджета, допускается применение корректировок без внесения поправок в методику.</w:t>
      </w:r>
    </w:p>
    <w:p w:rsidR="00257E9F" w:rsidRDefault="00257E9F" w:rsidP="00257E9F">
      <w:pPr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r>
        <w:rPr>
          <w:color w:val="0000FF"/>
          <w:szCs w:val="28"/>
        </w:rPr>
        <w:t xml:space="preserve">5. Доходы бюджета, администрирование которых осуществляет Отделом образования администрации г. Сельцо, подразделяются на </w:t>
      </w:r>
      <w:proofErr w:type="gramStart"/>
      <w:r>
        <w:rPr>
          <w:color w:val="0000FF"/>
          <w:szCs w:val="28"/>
        </w:rPr>
        <w:t>доходы</w:t>
      </w:r>
      <w:proofErr w:type="gramEnd"/>
      <w:r>
        <w:rPr>
          <w:color w:val="0000FF"/>
          <w:szCs w:val="28"/>
        </w:rPr>
        <w:t xml:space="preserve"> прогнозируемые и непрогнозируемые, но фактически поступающие в доход бюджета </w:t>
      </w:r>
      <w:proofErr w:type="spellStart"/>
      <w:r>
        <w:rPr>
          <w:color w:val="0000FF"/>
          <w:szCs w:val="28"/>
        </w:rPr>
        <w:t>Сельцовского</w:t>
      </w:r>
      <w:proofErr w:type="spellEnd"/>
      <w:r>
        <w:rPr>
          <w:color w:val="0000FF"/>
          <w:szCs w:val="28"/>
        </w:rPr>
        <w:t xml:space="preserve"> городского округа.</w:t>
      </w:r>
    </w:p>
    <w:p w:rsidR="00257E9F" w:rsidRDefault="00257E9F" w:rsidP="00257E9F">
      <w:pPr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r>
        <w:rPr>
          <w:color w:val="0000FF"/>
          <w:szCs w:val="28"/>
        </w:rPr>
        <w:t>Оценка непрогнозируемых, но поступающих в местный бюджет доходов осуществляется на основе данных фактических поступлений доходов.</w:t>
      </w:r>
    </w:p>
    <w:p w:rsidR="00257E9F" w:rsidRDefault="00257E9F" w:rsidP="00257E9F">
      <w:pPr>
        <w:pStyle w:val="ConsPlusNormal"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257E9F" w:rsidRDefault="00257E9F" w:rsidP="00257E9F">
      <w:pPr>
        <w:pStyle w:val="ConsPlusNormal"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FF"/>
          <w:sz w:val="28"/>
          <w:szCs w:val="28"/>
        </w:rPr>
        <w:t>. Перечень доходов, используемый для</w:t>
      </w:r>
    </w:p>
    <w:p w:rsidR="00257E9F" w:rsidRDefault="00257E9F" w:rsidP="00257E9F">
      <w:pPr>
        <w:pStyle w:val="ConsPlusNormal"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прогнозирования поступлений в бюджет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городского округа</w:t>
      </w:r>
    </w:p>
    <w:p w:rsidR="00257E9F" w:rsidRDefault="00257E9F" w:rsidP="00257E9F">
      <w:pPr>
        <w:pStyle w:val="ConsPlusNormal"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1.Перечень поступлений по доходам в бюджет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городского округа, в отношении которых главный администратор выполняет бюджетные полномочия:</w:t>
      </w:r>
    </w:p>
    <w:tbl>
      <w:tblPr>
        <w:tblW w:w="9705" w:type="dxa"/>
        <w:tblInd w:w="468" w:type="dxa"/>
        <w:tblLook w:val="04A0" w:firstRow="1" w:lastRow="0" w:firstColumn="1" w:lastColumn="0" w:noHBand="0" w:noVBand="1"/>
      </w:tblPr>
      <w:tblGrid>
        <w:gridCol w:w="1058"/>
        <w:gridCol w:w="2551"/>
        <w:gridCol w:w="6096"/>
      </w:tblGrid>
      <w:tr w:rsidR="00257E9F" w:rsidTr="00257E9F">
        <w:trPr>
          <w:trHeight w:val="1259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center"/>
              <w:rPr>
                <w:rFonts w:ascii="Calibri" w:eastAsia="Calibri" w:hAnsi="Calibri"/>
                <w:iCs/>
                <w:sz w:val="20"/>
                <w:lang w:eastAsia="en-US"/>
              </w:rPr>
            </w:pPr>
            <w:r>
              <w:rPr>
                <w:rFonts w:ascii="Calibri" w:eastAsia="Calibri" w:hAnsi="Calibri"/>
                <w:iCs/>
                <w:sz w:val="20"/>
                <w:lang w:eastAsia="en-US"/>
              </w:rPr>
              <w:t>Наименование доходов местного бюджета</w:t>
            </w:r>
          </w:p>
        </w:tc>
      </w:tr>
      <w:tr w:rsidR="00257E9F" w:rsidTr="00257E9F">
        <w:trPr>
          <w:trHeight w:val="287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адми-нист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-</w:t>
            </w:r>
          </w:p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рато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-</w:t>
            </w:r>
          </w:p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ра</w:t>
            </w:r>
            <w:proofErr w:type="spellEnd"/>
          </w:p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дохо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-</w:t>
            </w:r>
          </w:p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дов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F" w:rsidRDefault="00257E9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Cs w:val="28"/>
                <w:lang w:eastAsia="en-US"/>
              </w:rPr>
              <w:t>доходов</w:t>
            </w:r>
          </w:p>
          <w:p w:rsidR="00257E9F" w:rsidRDefault="00257E9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Cs w:val="28"/>
                <w:lang w:eastAsia="en-US"/>
              </w:rPr>
              <w:t>местного бюджета</w:t>
            </w:r>
          </w:p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rPr>
                <w:rFonts w:ascii="Calibri" w:eastAsia="Calibri" w:hAnsi="Calibri"/>
                <w:iCs/>
                <w:sz w:val="20"/>
                <w:lang w:eastAsia="en-US"/>
              </w:rPr>
            </w:pPr>
          </w:p>
        </w:tc>
      </w:tr>
      <w:tr w:rsidR="00257E9F" w:rsidTr="00257E9F">
        <w:trPr>
          <w:trHeight w:val="98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2 02 30029 04 0000 151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57E9F" w:rsidTr="00257E9F">
        <w:trPr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2 02 25520 04 0000 151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257E9F" w:rsidTr="00257E9F">
        <w:trPr>
          <w:trHeight w:val="4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1 13 01994 04 0000 130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57E9F" w:rsidTr="00257E9F">
        <w:trPr>
          <w:trHeight w:val="53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1 13 02064 04 0000 130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57E9F" w:rsidTr="00257E9F">
        <w:trPr>
          <w:trHeight w:val="35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257E9F" w:rsidTr="00257E9F">
        <w:trPr>
          <w:trHeight w:val="53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1 15 02040 04 0000 140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57E9F" w:rsidTr="00257E9F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1 16 23041 04 0000 140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57E9F" w:rsidTr="00257E9F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1 16 23042 04 0000 140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получатели средств бюджетов городских округов</w:t>
            </w:r>
          </w:p>
        </w:tc>
      </w:tr>
      <w:tr w:rsidR="00257E9F" w:rsidTr="00257E9F">
        <w:trPr>
          <w:trHeight w:val="53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lastRenderedPageBreak/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57E9F" w:rsidTr="00257E9F">
        <w:trPr>
          <w:trHeight w:val="33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257E9F" w:rsidTr="00257E9F">
        <w:trPr>
          <w:trHeight w:val="35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2 02 19999 04 0000 151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дотации бюджетам городских округов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2 02 29999 04 0000 151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257E9F" w:rsidTr="00257E9F">
        <w:trPr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2 02 30024 04 0000 151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57E9F" w:rsidTr="00257E9F">
        <w:trPr>
          <w:trHeight w:val="28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2 02 39999 04 0000 151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257E9F" w:rsidTr="00257E9F">
        <w:trPr>
          <w:trHeight w:val="24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2 02 49999 04 0000 151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2 07 04050 04 0000 180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2 18 60020 04 0000 151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2 18 04010 04 0000 180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2 18 04030 04 0000 180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2 19 25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520 04 0000 151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Возврат остатков субсидий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</w:tr>
      <w:tr w:rsidR="00257E9F" w:rsidTr="00257E9F">
        <w:trPr>
          <w:trHeight w:val="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2 19 60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010 04 0000 151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F" w:rsidRDefault="00257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2. Методика прогнозирования поступлений доходов в бюджет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городского округа   разрабатывается по каждому виду доходов и содержит: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    а) наименование вида доходов и соответствующий код бюджетной классификации Российской Федерации;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в) характеристику метода расчета прогнозного объема поступлений по каждому виду доходов. 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Для каждого вида доходов применяется один из следующих методов (комбинация следующих методов) расчета: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усреднение - расчет на основании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вида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иной способ, который должен быть описан и обоснован в методике прогнозирования;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г) описание фактического алгоритма расчета прогнозируемого объема поступлений в бюджеты бюджетной системы Российской Федерации.</w:t>
      </w:r>
    </w:p>
    <w:p w:rsidR="00257E9F" w:rsidRDefault="00257E9F" w:rsidP="00257E9F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57E9F" w:rsidRDefault="00257E9F" w:rsidP="00257E9F">
      <w:pPr>
        <w:pStyle w:val="ConsPlusNormal"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III.  Расчет прогнозного объема поступлений доходов в бюджет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городского округа, администрируемых Отделом образования администрации  г. Сельцо</w:t>
      </w:r>
    </w:p>
    <w:p w:rsidR="00257E9F" w:rsidRDefault="00257E9F" w:rsidP="00257E9F">
      <w:pPr>
        <w:pStyle w:val="ConsPlusNormal"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57E9F" w:rsidRDefault="00257E9F" w:rsidP="00257E9F">
      <w:pPr>
        <w:rPr>
          <w:color w:val="0033CC"/>
        </w:rPr>
      </w:pPr>
      <w:r>
        <w:rPr>
          <w:color w:val="0033CC"/>
        </w:rPr>
        <w:t>1. Расчет прогнозного объема  поступлений осуществляется в следующем порядке:</w:t>
      </w:r>
    </w:p>
    <w:p w:rsidR="00257E9F" w:rsidRDefault="00257E9F" w:rsidP="00257E9F">
      <w:pPr>
        <w:rPr>
          <w:color w:val="0033CC"/>
        </w:rPr>
      </w:pPr>
      <w:r>
        <w:rPr>
          <w:color w:val="0033CC"/>
        </w:rPr>
        <w:t xml:space="preserve">   КБК 003  1 17 01040 04 0000 180  Невыясненные поступления, зачисляемые в бюджеты городских округов.      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 xml:space="preserve">     Поступления и возврат доходов по данному коду планированию не подлежат. 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 xml:space="preserve">     Прогнозирование  осуществляется на основе данных фактических поступлений доходов, исходя из отчета  об исполнении бюджета главного распорядителя бюджетных средств.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001</w:t>
      </w:r>
      <w:r>
        <w:rPr>
          <w:color w:val="0033CC"/>
        </w:rPr>
        <w:tab/>
        <w:t>1 17 05040 04 0000 180</w:t>
      </w:r>
      <w:proofErr w:type="gramStart"/>
      <w:r>
        <w:rPr>
          <w:color w:val="0033CC"/>
        </w:rPr>
        <w:t xml:space="preserve"> </w:t>
      </w:r>
      <w:r>
        <w:rPr>
          <w:color w:val="0033CC"/>
        </w:rPr>
        <w:tab/>
        <w:t>П</w:t>
      </w:r>
      <w:proofErr w:type="gramEnd"/>
      <w:r>
        <w:rPr>
          <w:color w:val="0033CC"/>
        </w:rPr>
        <w:t>рочие неналоговые доходы бюджетов городских округов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 xml:space="preserve">         Поступления доходов по данному коду планированию не подлежат.     Прогнозирование  осуществляется на основе данных фактических </w:t>
      </w:r>
      <w:r>
        <w:rPr>
          <w:color w:val="0033CC"/>
        </w:rPr>
        <w:lastRenderedPageBreak/>
        <w:t>поступлений доходов, исходя из отчета  об исполнении бюджета главного распорядителя бюджетных средств.</w:t>
      </w:r>
    </w:p>
    <w:p w:rsidR="00257E9F" w:rsidRDefault="00257E9F" w:rsidP="00257E9F">
      <w:pPr>
        <w:rPr>
          <w:color w:val="0033CC"/>
        </w:rPr>
      </w:pPr>
      <w:r>
        <w:rPr>
          <w:color w:val="0033CC"/>
        </w:rPr>
        <w:t xml:space="preserve">    2. Безвозмездные поступления от  других бюджетов бюджетной системы Российской Федерации: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003</w:t>
      </w:r>
      <w:r>
        <w:rPr>
          <w:color w:val="0033CC"/>
        </w:rPr>
        <w:tab/>
        <w:t>2 02 19999 04 0000 151</w:t>
      </w:r>
      <w:proofErr w:type="gramStart"/>
      <w:r>
        <w:rPr>
          <w:color w:val="0033CC"/>
        </w:rPr>
        <w:tab/>
        <w:t>П</w:t>
      </w:r>
      <w:proofErr w:type="gramEnd"/>
      <w:r>
        <w:rPr>
          <w:color w:val="0033CC"/>
        </w:rPr>
        <w:t>рочие дотации бюджетам городских округов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003</w:t>
      </w:r>
      <w:r>
        <w:rPr>
          <w:color w:val="0033CC"/>
        </w:rPr>
        <w:tab/>
        <w:t>2 02 29999 04 0000 151</w:t>
      </w:r>
      <w:proofErr w:type="gramStart"/>
      <w:r>
        <w:rPr>
          <w:color w:val="0033CC"/>
        </w:rPr>
        <w:tab/>
        <w:t>П</w:t>
      </w:r>
      <w:proofErr w:type="gramEnd"/>
      <w:r>
        <w:rPr>
          <w:color w:val="0033CC"/>
        </w:rPr>
        <w:t>рочие субсидии бюджетам городских округов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003</w:t>
      </w:r>
      <w:r>
        <w:rPr>
          <w:color w:val="0033CC"/>
        </w:rPr>
        <w:tab/>
        <w:t>2 02 30024 04 0000 151</w:t>
      </w:r>
      <w:r>
        <w:rPr>
          <w:color w:val="0033CC"/>
        </w:rPr>
        <w:tab/>
        <w:t>Субвенции бюджетам городских округов на выполнение передаваемых полномочий субъектов Российской Федерации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 003</w:t>
      </w:r>
      <w:r>
        <w:rPr>
          <w:color w:val="0033CC"/>
        </w:rPr>
        <w:tab/>
        <w:t>2 02 30029 04 0000 151</w:t>
      </w:r>
      <w:r>
        <w:rPr>
          <w:color w:val="0033CC"/>
        </w:rPr>
        <w:tab/>
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003</w:t>
      </w:r>
      <w:r>
        <w:rPr>
          <w:color w:val="0033CC"/>
        </w:rPr>
        <w:tab/>
        <w:t>2 02 25520 04 0000 151</w:t>
      </w:r>
      <w:r>
        <w:rPr>
          <w:color w:val="0033CC"/>
        </w:rPr>
        <w:tab/>
        <w:t xml:space="preserve"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 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003</w:t>
      </w:r>
      <w:r>
        <w:rPr>
          <w:color w:val="0033CC"/>
        </w:rPr>
        <w:tab/>
        <w:t>2 02 39999 04 0000 151</w:t>
      </w:r>
      <w:proofErr w:type="gramStart"/>
      <w:r>
        <w:rPr>
          <w:color w:val="0033CC"/>
        </w:rPr>
        <w:tab/>
        <w:t>П</w:t>
      </w:r>
      <w:proofErr w:type="gramEnd"/>
      <w:r>
        <w:rPr>
          <w:color w:val="0033CC"/>
        </w:rPr>
        <w:t>рочие субвенции бюджетам городских округов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003</w:t>
      </w:r>
      <w:r>
        <w:rPr>
          <w:color w:val="0033CC"/>
        </w:rPr>
        <w:tab/>
        <w:t>2 02 49999 04 0000 151</w:t>
      </w:r>
      <w:proofErr w:type="gramStart"/>
      <w:r>
        <w:rPr>
          <w:color w:val="0033CC"/>
        </w:rPr>
        <w:tab/>
        <w:t>П</w:t>
      </w:r>
      <w:proofErr w:type="gramEnd"/>
      <w:r>
        <w:rPr>
          <w:color w:val="0033CC"/>
        </w:rPr>
        <w:t>рочие межбюджетные трансферты, передаваемые бюджетам городских округов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>КБК 003</w:t>
      </w:r>
      <w:r>
        <w:rPr>
          <w:color w:val="0033CC"/>
        </w:rPr>
        <w:tab/>
        <w:t>2 07 04050 04 0000 180</w:t>
      </w:r>
      <w:proofErr w:type="gramStart"/>
      <w:r>
        <w:rPr>
          <w:color w:val="0033CC"/>
        </w:rPr>
        <w:tab/>
        <w:t>П</w:t>
      </w:r>
      <w:proofErr w:type="gramEnd"/>
      <w:r>
        <w:rPr>
          <w:color w:val="0033CC"/>
        </w:rPr>
        <w:t xml:space="preserve">рочие безвозмездные поступления в бюджеты городских округов </w:t>
      </w:r>
    </w:p>
    <w:p w:rsidR="00257E9F" w:rsidRDefault="00257E9F" w:rsidP="00257E9F">
      <w:pPr>
        <w:jc w:val="both"/>
        <w:rPr>
          <w:color w:val="0033CC"/>
        </w:rPr>
      </w:pPr>
      <w:r>
        <w:rPr>
          <w:color w:val="0033CC"/>
        </w:rPr>
        <w:t xml:space="preserve">         Дотации, субсидии, субвенции, межбюджетные трансферты, прочие безвозмездные поступления от других бюджетов бюджетной системы Российской Федерации</w:t>
      </w:r>
      <w:proofErr w:type="gramStart"/>
      <w:r>
        <w:rPr>
          <w:color w:val="0033CC"/>
        </w:rPr>
        <w:t xml:space="preserve"> ,</w:t>
      </w:r>
      <w:proofErr w:type="gramEnd"/>
      <w:r>
        <w:rPr>
          <w:color w:val="0033CC"/>
        </w:rPr>
        <w:t xml:space="preserve"> прогнозируются на основании нормативно-правовых актов федеральных органов исполнительной власти, Закона  Брянской области   «Об областном бюджете  на прогнозируемый год», уведомлений Главных распорядителей бюджетных средств о бюджетных ассигнованиях на прогнозируемый год.</w:t>
      </w:r>
    </w:p>
    <w:p w:rsidR="00257E9F" w:rsidRDefault="00257E9F" w:rsidP="00257E9F">
      <w:pPr>
        <w:autoSpaceDE w:val="0"/>
        <w:autoSpaceDN w:val="0"/>
        <w:adjustRightInd w:val="0"/>
        <w:jc w:val="both"/>
        <w:outlineLvl w:val="1"/>
        <w:rPr>
          <w:color w:val="0033CC"/>
          <w:szCs w:val="28"/>
          <w:vertAlign w:val="subscript"/>
        </w:rPr>
      </w:pPr>
      <w:r>
        <w:rPr>
          <w:color w:val="0033CC"/>
          <w:szCs w:val="28"/>
        </w:rPr>
        <w:t xml:space="preserve">    Применяется метод прямого счета. Формула расчета</w:t>
      </w:r>
      <w:r>
        <w:rPr>
          <w:b/>
          <w:color w:val="0033CC"/>
          <w:szCs w:val="28"/>
        </w:rPr>
        <w:t xml:space="preserve">: </w:t>
      </w:r>
      <w:proofErr w:type="spellStart"/>
      <w:r>
        <w:rPr>
          <w:b/>
          <w:color w:val="0033CC"/>
          <w:szCs w:val="28"/>
        </w:rPr>
        <w:t>О</w:t>
      </w:r>
      <w:r>
        <w:rPr>
          <w:b/>
          <w:color w:val="0033CC"/>
          <w:szCs w:val="28"/>
          <w:vertAlign w:val="subscript"/>
        </w:rPr>
        <w:t>бп</w:t>
      </w:r>
      <w:proofErr w:type="spellEnd"/>
      <w:r>
        <w:rPr>
          <w:b/>
          <w:color w:val="0033CC"/>
          <w:szCs w:val="28"/>
          <w:vertAlign w:val="subscript"/>
        </w:rPr>
        <w:t>=</w:t>
      </w:r>
      <w:r>
        <w:rPr>
          <w:b/>
          <w:color w:val="0033CC"/>
          <w:szCs w:val="28"/>
        </w:rPr>
        <w:t>О</w:t>
      </w:r>
      <w:r>
        <w:rPr>
          <w:b/>
          <w:color w:val="0033CC"/>
          <w:szCs w:val="28"/>
          <w:vertAlign w:val="subscript"/>
        </w:rPr>
        <w:t>р</w:t>
      </w:r>
      <w:r>
        <w:rPr>
          <w:color w:val="0033CC"/>
          <w:szCs w:val="28"/>
          <w:vertAlign w:val="subscript"/>
        </w:rPr>
        <w:t>.</w:t>
      </w:r>
    </w:p>
    <w:p w:rsidR="00257E9F" w:rsidRDefault="00257E9F" w:rsidP="00257E9F">
      <w:pPr>
        <w:autoSpaceDE w:val="0"/>
        <w:autoSpaceDN w:val="0"/>
        <w:adjustRightInd w:val="0"/>
        <w:jc w:val="both"/>
        <w:outlineLvl w:val="1"/>
        <w:rPr>
          <w:color w:val="0033CC"/>
          <w:szCs w:val="28"/>
        </w:rPr>
      </w:pPr>
      <w:proofErr w:type="spellStart"/>
      <w:r>
        <w:rPr>
          <w:color w:val="0033CC"/>
          <w:szCs w:val="28"/>
        </w:rPr>
        <w:t>О</w:t>
      </w:r>
      <w:r>
        <w:rPr>
          <w:color w:val="0033CC"/>
          <w:szCs w:val="28"/>
          <w:vertAlign w:val="subscript"/>
        </w:rPr>
        <w:t>бп</w:t>
      </w:r>
      <w:proofErr w:type="spellEnd"/>
      <w:r>
        <w:rPr>
          <w:color w:val="0033CC"/>
          <w:szCs w:val="28"/>
          <w:vertAlign w:val="subscript"/>
        </w:rPr>
        <w:t xml:space="preserve"> </w:t>
      </w:r>
      <w:proofErr w:type="gramStart"/>
      <w:r>
        <w:rPr>
          <w:color w:val="0033CC"/>
          <w:szCs w:val="28"/>
        </w:rPr>
        <w:t>-о</w:t>
      </w:r>
      <w:proofErr w:type="gramEnd"/>
      <w:r>
        <w:rPr>
          <w:color w:val="0033CC"/>
          <w:szCs w:val="28"/>
        </w:rPr>
        <w:t>бъем</w:t>
      </w:r>
      <w:r>
        <w:rPr>
          <w:color w:val="0033CC"/>
        </w:rPr>
        <w:t xml:space="preserve"> б</w:t>
      </w:r>
      <w:r>
        <w:rPr>
          <w:color w:val="0033CC"/>
          <w:szCs w:val="28"/>
        </w:rPr>
        <w:t>езвозмездные поступления от  других бюджетов бюджетной системы Российской Федерации</w:t>
      </w:r>
    </w:p>
    <w:p w:rsidR="00257E9F" w:rsidRDefault="00257E9F" w:rsidP="00257E9F">
      <w:pPr>
        <w:autoSpaceDE w:val="0"/>
        <w:autoSpaceDN w:val="0"/>
        <w:adjustRightInd w:val="0"/>
        <w:jc w:val="both"/>
        <w:outlineLvl w:val="1"/>
        <w:rPr>
          <w:color w:val="0033CC"/>
          <w:szCs w:val="28"/>
        </w:rPr>
      </w:pPr>
      <w:proofErr w:type="gramStart"/>
      <w:r>
        <w:rPr>
          <w:color w:val="0033CC"/>
          <w:szCs w:val="28"/>
        </w:rPr>
        <w:t>О</w:t>
      </w:r>
      <w:r>
        <w:rPr>
          <w:color w:val="0033CC"/>
          <w:szCs w:val="28"/>
          <w:vertAlign w:val="subscript"/>
        </w:rPr>
        <w:t>р</w:t>
      </w:r>
      <w:r>
        <w:rPr>
          <w:color w:val="0033CC"/>
          <w:szCs w:val="28"/>
        </w:rPr>
        <w:t>-объема</w:t>
      </w:r>
      <w:proofErr w:type="gramEnd"/>
      <w:r>
        <w:rPr>
          <w:color w:val="0033CC"/>
          <w:szCs w:val="28"/>
        </w:rPr>
        <w:t xml:space="preserve"> расходов соответствующего бюджета бюджетной системы Российской Федерации.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 xml:space="preserve">    КБК003</w:t>
      </w:r>
      <w:r>
        <w:rPr>
          <w:color w:val="0033CC"/>
          <w:spacing w:val="2"/>
          <w:szCs w:val="28"/>
        </w:rPr>
        <w:tab/>
        <w:t>2 18 60020 04 0000 151</w:t>
      </w:r>
      <w:r>
        <w:rPr>
          <w:color w:val="0033CC"/>
          <w:spacing w:val="2"/>
          <w:szCs w:val="28"/>
        </w:rPr>
        <w:tab/>
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 xml:space="preserve">     КБК 003</w:t>
      </w:r>
      <w:r>
        <w:rPr>
          <w:color w:val="0033CC"/>
          <w:spacing w:val="2"/>
          <w:szCs w:val="28"/>
        </w:rPr>
        <w:tab/>
        <w:t xml:space="preserve">  2 18 04010 04 0000 180</w:t>
      </w:r>
      <w:r>
        <w:rPr>
          <w:color w:val="0033CC"/>
          <w:spacing w:val="2"/>
          <w:szCs w:val="28"/>
        </w:rPr>
        <w:tab/>
        <w:t>Доходы бюджетов городских округов от возврата бюджетными учреждениями остатков субсидий прошлых лет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 xml:space="preserve">      КБК 003</w:t>
      </w:r>
      <w:r>
        <w:rPr>
          <w:color w:val="0033CC"/>
          <w:spacing w:val="2"/>
          <w:szCs w:val="28"/>
        </w:rPr>
        <w:tab/>
        <w:t>2 18 04030 04 0000 180</w:t>
      </w:r>
      <w:r>
        <w:rPr>
          <w:color w:val="0033CC"/>
          <w:spacing w:val="2"/>
          <w:szCs w:val="28"/>
        </w:rPr>
        <w:tab/>
        <w:t>Доходы бюджетов городских округов от возврата иными организациями остатков субсидий прошлых лет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lastRenderedPageBreak/>
        <w:t xml:space="preserve">      КБК 003</w:t>
      </w:r>
      <w:r>
        <w:rPr>
          <w:color w:val="0033CC"/>
          <w:spacing w:val="2"/>
          <w:szCs w:val="28"/>
        </w:rPr>
        <w:tab/>
        <w:t>2 19 25</w:t>
      </w:r>
      <w:r>
        <w:rPr>
          <w:color w:val="0033CC"/>
          <w:spacing w:val="2"/>
          <w:szCs w:val="28"/>
        </w:rPr>
        <w:tab/>
        <w:t>520 04 0000 151</w:t>
      </w:r>
      <w:r>
        <w:rPr>
          <w:color w:val="0033CC"/>
          <w:spacing w:val="2"/>
          <w:szCs w:val="28"/>
        </w:rPr>
        <w:tab/>
        <w:t xml:space="preserve">Возврат остатков субсидий </w:t>
      </w:r>
      <w:proofErr w:type="gramStart"/>
      <w:r>
        <w:rPr>
          <w:color w:val="0033CC"/>
          <w:spacing w:val="2"/>
          <w:szCs w:val="28"/>
        </w:rPr>
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</w:r>
      <w:proofErr w:type="gramEnd"/>
      <w:r>
        <w:rPr>
          <w:color w:val="0033CC"/>
          <w:spacing w:val="2"/>
          <w:szCs w:val="28"/>
        </w:rPr>
        <w:t xml:space="preserve"> городских округов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 xml:space="preserve">      КБК 003</w:t>
      </w:r>
      <w:r>
        <w:rPr>
          <w:color w:val="0033CC"/>
          <w:spacing w:val="2"/>
          <w:szCs w:val="28"/>
        </w:rPr>
        <w:tab/>
        <w:t>2 19 60</w:t>
      </w:r>
      <w:r>
        <w:rPr>
          <w:color w:val="0033CC"/>
          <w:spacing w:val="2"/>
          <w:szCs w:val="28"/>
        </w:rPr>
        <w:tab/>
        <w:t>010 04 0000 151</w:t>
      </w:r>
      <w:r>
        <w:rPr>
          <w:color w:val="0033CC"/>
          <w:spacing w:val="2"/>
          <w:szCs w:val="28"/>
        </w:rPr>
        <w:tab/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 xml:space="preserve">         Поступления и возврат по данным кодам бюджетной классификации планированию не подлежат. Оценка непрогнозируемых, но поступающих в местный бюджет доходов осуществляется на основе данных фактических поступлений доходов: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>а) используется метод прямого расчета;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-6"/>
          <w:szCs w:val="28"/>
        </w:rPr>
        <w:t>б)</w:t>
      </w:r>
      <w:r>
        <w:rPr>
          <w:color w:val="0033CC"/>
          <w:spacing w:val="2"/>
          <w:szCs w:val="28"/>
        </w:rPr>
        <w:t xml:space="preserve"> для расчета прогнозного объема поступлений учитываются: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 xml:space="preserve">  фактические поступления (возврат) доходов  в бюджет (из бюджета) </w:t>
      </w:r>
      <w:proofErr w:type="spellStart"/>
      <w:r>
        <w:rPr>
          <w:color w:val="0033CC"/>
          <w:spacing w:val="2"/>
          <w:szCs w:val="28"/>
        </w:rPr>
        <w:t>Сельцовского</w:t>
      </w:r>
      <w:proofErr w:type="spellEnd"/>
      <w:r>
        <w:rPr>
          <w:color w:val="0033CC"/>
          <w:spacing w:val="2"/>
          <w:szCs w:val="28"/>
        </w:rPr>
        <w:t xml:space="preserve"> городского округа;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r>
        <w:rPr>
          <w:color w:val="0033CC"/>
          <w:spacing w:val="2"/>
          <w:szCs w:val="28"/>
        </w:rPr>
        <w:t>в) формула расчета: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proofErr w:type="spellStart"/>
      <w:r>
        <w:rPr>
          <w:color w:val="0033CC"/>
          <w:spacing w:val="2"/>
          <w:szCs w:val="28"/>
        </w:rPr>
        <w:t>Ппд</w:t>
      </w:r>
      <w:proofErr w:type="spellEnd"/>
      <w:r>
        <w:rPr>
          <w:color w:val="0033CC"/>
          <w:spacing w:val="2"/>
          <w:szCs w:val="28"/>
        </w:rPr>
        <w:t>=</w:t>
      </w:r>
      <w:proofErr w:type="spellStart"/>
      <w:r>
        <w:rPr>
          <w:color w:val="0033CC"/>
          <w:spacing w:val="2"/>
          <w:szCs w:val="28"/>
        </w:rPr>
        <w:t>Фпд</w:t>
      </w:r>
      <w:proofErr w:type="gramStart"/>
      <w:r>
        <w:rPr>
          <w:color w:val="0033CC"/>
          <w:spacing w:val="2"/>
          <w:szCs w:val="28"/>
        </w:rPr>
        <w:t>,г</w:t>
      </w:r>
      <w:proofErr w:type="gramEnd"/>
      <w:r>
        <w:rPr>
          <w:color w:val="0033CC"/>
          <w:spacing w:val="2"/>
          <w:szCs w:val="28"/>
        </w:rPr>
        <w:t>де</w:t>
      </w:r>
      <w:proofErr w:type="spellEnd"/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proofErr w:type="spellStart"/>
      <w:r>
        <w:rPr>
          <w:color w:val="0033CC"/>
          <w:spacing w:val="2"/>
          <w:szCs w:val="28"/>
        </w:rPr>
        <w:t>Пп</w:t>
      </w:r>
      <w:proofErr w:type="gramStart"/>
      <w:r>
        <w:rPr>
          <w:color w:val="0033CC"/>
          <w:spacing w:val="2"/>
          <w:szCs w:val="28"/>
        </w:rPr>
        <w:t>д</w:t>
      </w:r>
      <w:proofErr w:type="spellEnd"/>
      <w:r>
        <w:rPr>
          <w:color w:val="0033CC"/>
          <w:spacing w:val="2"/>
          <w:szCs w:val="28"/>
        </w:rPr>
        <w:t>-</w:t>
      </w:r>
      <w:proofErr w:type="gramEnd"/>
      <w:r>
        <w:rPr>
          <w:color w:val="0033CC"/>
          <w:spacing w:val="2"/>
          <w:szCs w:val="28"/>
        </w:rPr>
        <w:t xml:space="preserve"> прогнозируемые поступления( возврат) доходов;</w:t>
      </w:r>
    </w:p>
    <w:p w:rsidR="00257E9F" w:rsidRDefault="00257E9F" w:rsidP="00257E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33CC"/>
          <w:spacing w:val="2"/>
          <w:szCs w:val="28"/>
        </w:rPr>
      </w:pPr>
      <w:proofErr w:type="spellStart"/>
      <w:r>
        <w:rPr>
          <w:color w:val="0033CC"/>
          <w:spacing w:val="2"/>
          <w:szCs w:val="28"/>
        </w:rPr>
        <w:t>Фпд</w:t>
      </w:r>
      <w:proofErr w:type="spellEnd"/>
      <w:r>
        <w:rPr>
          <w:color w:val="0033CC"/>
          <w:spacing w:val="2"/>
          <w:szCs w:val="28"/>
        </w:rPr>
        <w:t>-фактические поступлени</w:t>
      </w:r>
      <w:proofErr w:type="gramStart"/>
      <w:r>
        <w:rPr>
          <w:color w:val="0033CC"/>
          <w:spacing w:val="2"/>
          <w:szCs w:val="28"/>
        </w:rPr>
        <w:t>я(</w:t>
      </w:r>
      <w:proofErr w:type="gramEnd"/>
      <w:r>
        <w:rPr>
          <w:color w:val="0033CC"/>
          <w:spacing w:val="2"/>
          <w:szCs w:val="28"/>
        </w:rPr>
        <w:t xml:space="preserve"> возврат) доходов.</w:t>
      </w:r>
    </w:p>
    <w:p w:rsidR="00257E9F" w:rsidRDefault="00257E9F" w:rsidP="00257E9F">
      <w:pPr>
        <w:autoSpaceDE w:val="0"/>
        <w:autoSpaceDN w:val="0"/>
        <w:adjustRightInd w:val="0"/>
        <w:jc w:val="both"/>
        <w:outlineLvl w:val="1"/>
        <w:rPr>
          <w:color w:val="0033CC"/>
          <w:szCs w:val="28"/>
          <w:vertAlign w:val="subscript"/>
        </w:rPr>
      </w:pPr>
    </w:p>
    <w:p w:rsidR="00F44AF7" w:rsidRDefault="00F44AF7"/>
    <w:sectPr w:rsidR="00F4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49"/>
    <w:multiLevelType w:val="hybridMultilevel"/>
    <w:tmpl w:val="CC069472"/>
    <w:lvl w:ilvl="0" w:tplc="46DE34BE">
      <w:start w:val="1"/>
      <w:numFmt w:val="upperRoman"/>
      <w:lvlText w:val="%1."/>
      <w:lvlJc w:val="left"/>
      <w:pPr>
        <w:ind w:left="4421" w:hanging="720"/>
      </w:pPr>
    </w:lvl>
    <w:lvl w:ilvl="1" w:tplc="04190019">
      <w:start w:val="1"/>
      <w:numFmt w:val="lowerLetter"/>
      <w:lvlText w:val="%2."/>
      <w:lvlJc w:val="left"/>
      <w:pPr>
        <w:ind w:left="4781" w:hanging="360"/>
      </w:pPr>
    </w:lvl>
    <w:lvl w:ilvl="2" w:tplc="0419001B">
      <w:start w:val="1"/>
      <w:numFmt w:val="lowerRoman"/>
      <w:lvlText w:val="%3."/>
      <w:lvlJc w:val="right"/>
      <w:pPr>
        <w:ind w:left="5501" w:hanging="180"/>
      </w:pPr>
    </w:lvl>
    <w:lvl w:ilvl="3" w:tplc="0419000F">
      <w:start w:val="1"/>
      <w:numFmt w:val="decimal"/>
      <w:lvlText w:val="%4."/>
      <w:lvlJc w:val="left"/>
      <w:pPr>
        <w:ind w:left="6221" w:hanging="360"/>
      </w:pPr>
    </w:lvl>
    <w:lvl w:ilvl="4" w:tplc="04190019">
      <w:start w:val="1"/>
      <w:numFmt w:val="lowerLetter"/>
      <w:lvlText w:val="%5."/>
      <w:lvlJc w:val="left"/>
      <w:pPr>
        <w:ind w:left="6941" w:hanging="360"/>
      </w:pPr>
    </w:lvl>
    <w:lvl w:ilvl="5" w:tplc="0419001B">
      <w:start w:val="1"/>
      <w:numFmt w:val="lowerRoman"/>
      <w:lvlText w:val="%6."/>
      <w:lvlJc w:val="right"/>
      <w:pPr>
        <w:ind w:left="7661" w:hanging="180"/>
      </w:pPr>
    </w:lvl>
    <w:lvl w:ilvl="6" w:tplc="0419000F">
      <w:start w:val="1"/>
      <w:numFmt w:val="decimal"/>
      <w:lvlText w:val="%7."/>
      <w:lvlJc w:val="left"/>
      <w:pPr>
        <w:ind w:left="8381" w:hanging="360"/>
      </w:pPr>
    </w:lvl>
    <w:lvl w:ilvl="7" w:tplc="04190019">
      <w:start w:val="1"/>
      <w:numFmt w:val="lowerLetter"/>
      <w:lvlText w:val="%8."/>
      <w:lvlJc w:val="left"/>
      <w:pPr>
        <w:ind w:left="9101" w:hanging="360"/>
      </w:pPr>
    </w:lvl>
    <w:lvl w:ilvl="8" w:tplc="0419001B">
      <w:start w:val="1"/>
      <w:numFmt w:val="lowerRoman"/>
      <w:lvlText w:val="%9."/>
      <w:lvlJc w:val="right"/>
      <w:pPr>
        <w:ind w:left="9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D"/>
    <w:rsid w:val="000A0EE0"/>
    <w:rsid w:val="00257E9F"/>
    <w:rsid w:val="00A10E06"/>
    <w:rsid w:val="00EA49ED"/>
    <w:rsid w:val="00F22DB6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E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7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E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7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2054</Words>
  <Characters>11712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2017-06-22T14:02:00Z</dcterms:created>
  <dcterms:modified xsi:type="dcterms:W3CDTF">2017-06-22T14:05:00Z</dcterms:modified>
</cp:coreProperties>
</file>