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8E" w:rsidRDefault="001F43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Приложение № 1</w:t>
      </w:r>
    </w:p>
    <w:p w:rsidR="002537A3" w:rsidRDefault="00FD634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Методические рекомендации по реализации плана мероприятий Экспертного совета по информатизации системы образовании и воспитании при Временной комиссии Совета Федерации по развитию информационного общества на 2018/2019 учебный год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обеспечения деятельности Временной комиссии Совета Федерации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развитию информационного общества (далее – Временная комиссия) в сфере образования и детства утвержден план мероприятий Экспертного совета по информатизации системы образования и воспитания при Временной комиссии на 2018/2019 учебный год. 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Экспертный совет является постоянно действующим экспертно-консультативным и рабочим органом Временной комиссии и обладает различными функциями, среди которых проведение общественных обсуждений, разработка рекомендаций, проведение мероприятий и другие функции.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План Экспертного совета на 2018/2019 учебный год содержит мероприятия для педагогических работников и обучающихся, ориентированные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2537A3" w:rsidRDefault="00FD634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Реализацию обозначенных в различных документах стратегического планирования задач в сфере образования и детства на федеральном уровне и положений федерального законодательства; </w:t>
      </w:r>
    </w:p>
    <w:p w:rsidR="002537A3" w:rsidRDefault="00FD634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Обеспечение деятельности Временной комиссии Совета Федерации по развитию информационного общества в сфере образования и детства; </w:t>
      </w:r>
    </w:p>
    <w:p w:rsidR="002537A3" w:rsidRDefault="00FD634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2017г. 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Кроме этого, в течени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учебного года в рамках Экспертного совета будут запущены следующие функции:</w:t>
      </w:r>
    </w:p>
    <w:p w:rsidR="002537A3" w:rsidRDefault="00FD634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Дистанционная форма аттестации на соответствие занимаемой должности для образовательных организаций в рамках реализации приоритетного проекта «Цифровая школа» при поддержке Министерства образования и науки Российской Федерации в сентябре 2018 года;</w:t>
      </w:r>
    </w:p>
    <w:p w:rsidR="002537A3" w:rsidRDefault="00FD634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при поддержке Министерства образования и науки Российской Федерации в июле 2018 года. Образовательные организации смогут утвердить на их основе локальные программы повышения квалификации педагогов.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Исполнительным органам государственной власти, осуществляющим государственное управление в сфере образования в субъектах Федерации, необходимо направить информацию о реализации мер, указанных в методических рекомендациях, на электронную почту LNBokova@senat.gov.ru до 15 августа 2018 года.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Необходимая информация, актуальные ссылки на мероприятия и документы для нижеуказанных мероприятий опубликована на сайте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www.Единыйурок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разделе «Поддержка», категория «Экспертный совет», пункт «Официальные документы и информация».</w:t>
      </w:r>
    </w:p>
    <w:p w:rsidR="002537A3" w:rsidRDefault="002537A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537A3" w:rsidRDefault="00FD634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Органам власти и органам местного самоуправления субъектов Федерации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Исполнительным органам государственной власти,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осуществляющими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государственное управление в сфере образования в субъектах Федерации, и органам местного самоуправления (муниципальным образованиям) необходимо: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Разработать приказ или информационное письмо о реализации плана мероприятий Экспертного совета для образовательных организаций, который должен содержать следующую информацию: </w:t>
      </w:r>
    </w:p>
    <w:p w:rsidR="002537A3" w:rsidRDefault="00FD634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проводимых мероприятиях Экспертного совета; </w:t>
      </w:r>
    </w:p>
    <w:p w:rsidR="002537A3" w:rsidRDefault="00FD634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необходимых действиях со стороны администраций образовательных организаций для участия в мероприятиях Экспертного совета; </w:t>
      </w:r>
    </w:p>
    <w:p w:rsidR="002537A3" w:rsidRDefault="00FD634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информацию о порядке сбора отчётности по результатам участия в мероприятиях.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Создать на сайте органа власти либо муниципалитета самостоятельный раздел о деятельности Экспертного совета, в рамках которого публиковать информацию об Экспертном совете и его мероприятиях либо обеспечить регулярное размещение информац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ии о е</w:t>
      </w:r>
      <w:proofErr w:type="gramEnd"/>
      <w:r>
        <w:rPr>
          <w:rFonts w:ascii="Times New Roman" w:eastAsia="Times New Roman" w:hAnsi="Times New Roman" w:cs="Times New Roman"/>
          <w:color w:val="000000"/>
        </w:rPr>
        <w:t>го реализации в разделах «Новости», «События» и т.д.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в планы деятельности проведение мероприятий Экспертного совета на предстоящий учебный год;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Включать информацию о результатах проведения мероприятий Экспертного совета в публичные отчеты и доклады о деятельности органа власти либо муниципалитета;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Учитывать деятельность педагогов в работе Экспертного совета и результаты участия педагогических работников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обучающихся в мероприятиях Экспертного совета при проведении аттестации педагогических работников на квалификационную категорию, включая данные показатели в оценки работы;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сайт Экспертного совета и сайты мероприятий Экспертного совета в перечень рекомендуемых Интернет-ресурсов для педагогических работников для самообразования, подготовки к аттестации, организации учебной деятельности и т.д.;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Предусмотреть награждение победителей мероприятий Экспертного совета из числа педагогических работников и обучающихся похвальными грамотами и (или) благодарностями от органа власти либо муниципалитета, а также вручение подарочных сертификатов на посещение учреждений культуры, секций и кружков в сфере дополнительного образования, путевок в оздоровительные и летние лагеря;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Обеспечивать сбор отчетности об участии педагогических работников и обучающихся образовательных организаций на уровне субъекта Федерации с предоставлением раз в каждый квартал данных сведений на электронную почту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LNBokova@senat.gov.ru</w:t>
        </w:r>
      </w:hyperlink>
      <w:r>
        <w:rPr>
          <w:rFonts w:ascii="Times New Roman" w:eastAsia="Times New Roman" w:hAnsi="Times New Roman" w:cs="Times New Roman"/>
          <w:color w:val="000000"/>
        </w:rPr>
        <w:t>;</w:t>
      </w:r>
    </w:p>
    <w:p w:rsidR="002537A3" w:rsidRDefault="00FD63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Содействовать в реализации в образовательных организациях дистанционной формы аттестации на соответствие занимаемой должности и локальных программ повышения квалификации педагогов, реализуемых на сайте Экспертного совета, а также дистанционных форм организации внеурочной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обучающихся.</w:t>
      </w:r>
    </w:p>
    <w:p w:rsidR="002537A3" w:rsidRDefault="002537A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A3" w:rsidRDefault="00FD634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Администрациям образовательных учреждений</w:t>
      </w:r>
    </w:p>
    <w:p w:rsidR="002537A3" w:rsidRDefault="00FD63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Администрациям общеобразовательных организаций и профессиональных образовательных организаций необходимо: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Разработать и принять приказ о реализации плана мероприятий Экспертного совета среди образовательных организаций, который должен содержать следующую информацию: </w:t>
      </w:r>
    </w:p>
    <w:p w:rsidR="002537A3" w:rsidRDefault="00FD634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проводимых мероприятиях Экспертного совета; </w:t>
      </w:r>
    </w:p>
    <w:p w:rsidR="002537A3" w:rsidRDefault="00FD634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об ответственном лице (кураторе) со стороны образовательной организации; </w:t>
      </w:r>
    </w:p>
    <w:p w:rsidR="002537A3" w:rsidRDefault="00FD634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действиях со стороны ответственных лиц и педагогов образовательной организации; </w:t>
      </w:r>
    </w:p>
    <w:p w:rsidR="002537A3" w:rsidRDefault="00FD634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сборе отчётности по результатам участия в мероприятиях. 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Организовать централизованную регистрацию сотрудников образовательной организации на сайте Экспертного совета и регистрацию обучающихся на одном из сайтов мероприятий для обучающихся Экспертного совета;</w:t>
      </w:r>
      <w:proofErr w:type="gramEnd"/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Обеспечивать участие педагогического состава и обучающихся в мероприятиях Экспертного совета;</w:t>
      </w:r>
      <w:proofErr w:type="gramEnd"/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в планы деятельности проведение мероприятий Экспертного совета на предстоящий учебный год;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Включать информацию о результатах проведения мероприятий Экспертного совета в публичные отчеты и доклады о деятельности образовательной организации;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Учитывать деятельность педагогов в работе Экспертного совета и результаты участия педагогических работников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обучающихся в мероприятиях Экспертного совета при проведении аттестации на соответствие занимаемой должности;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Учитывать деятельность педагогов в работе Экспертного совета при выделении премий, доплат и надбавок, стимулирующего и поощрительного характера;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Реализовать в организации дистанционную форму аттестации на соответствие занимаемой должности и утвердить локальную программу повышения квалификации педагогов, реализуемых на сайте Экспертного совета.</w:t>
      </w:r>
    </w:p>
    <w:p w:rsidR="002537A3" w:rsidRDefault="00FD634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Реализовать в организации дистанционные формы организации внеурочной деятельности для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537A3" w:rsidRDefault="00FD6344">
      <w:pPr>
        <w:pStyle w:val="normal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1F438E" w:rsidRDefault="001F43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Приложение №2</w:t>
      </w:r>
    </w:p>
    <w:p w:rsidR="001F438E" w:rsidRDefault="001F43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A3" w:rsidRDefault="00FD634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мероприятий Экспертного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1"/>
        <w:gridCol w:w="5678"/>
        <w:gridCol w:w="3066"/>
      </w:tblGrid>
      <w:tr w:rsidR="002537A3">
        <w:tc>
          <w:tcPr>
            <w:tcW w:w="601" w:type="dxa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</w:p>
        </w:tc>
      </w:tr>
      <w:tr w:rsidR="002537A3">
        <w:tc>
          <w:tcPr>
            <w:tcW w:w="9345" w:type="dxa"/>
            <w:gridSpan w:val="3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Третий квартал 2018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Всероссийское тестирование педагогов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информатизации системы образования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9345" w:type="dxa"/>
            <w:gridSpan w:val="3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Четвертый квартал 2018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безопасности в сети «Интернет»</w:t>
            </w:r>
          </w:p>
        </w:tc>
        <w:tc>
          <w:tcPr>
            <w:tcW w:w="3066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цифровой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</w:tr>
      <w:tr w:rsidR="002537A3">
        <w:trPr>
          <w:trHeight w:val="400"/>
        </w:trPr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контрольная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кибербезопасности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www.Единыйурок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 по формированию детского информационного пространства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турнир по информационной безопасности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Национальная премия за заслуги компаний и организаций в сфере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информационного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детей, подростков и молодежи «Премия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работники;</w:t>
            </w:r>
            <w:r>
              <w:rPr>
                <w:rFonts w:ascii="Times New Roman" w:eastAsia="Times New Roman" w:hAnsi="Times New Roman" w:cs="Times New Roman"/>
              </w:rPr>
              <w:br/>
              <w:t>Обучающиеся образовательных организаций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прав человека</w:t>
            </w:r>
          </w:p>
        </w:tc>
        <w:tc>
          <w:tcPr>
            <w:tcW w:w="3066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Турнир педагогов на знание прав человека и ребенка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9345" w:type="dxa"/>
            <w:gridSpan w:val="3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Первый квартал 2019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молодежному предпринимательству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Bunessteeen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</w:tr>
      <w:tr w:rsidR="002537A3">
        <w:tc>
          <w:tcPr>
            <w:tcW w:w="9345" w:type="dxa"/>
            <w:gridSpan w:val="3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Второй квартал 2019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урок парламентаризма</w:t>
            </w:r>
          </w:p>
        </w:tc>
        <w:tc>
          <w:tcPr>
            <w:tcW w:w="3066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</w:tr>
      <w:tr w:rsidR="002537A3">
        <w:tc>
          <w:tcPr>
            <w:tcW w:w="9345" w:type="dxa"/>
            <w:gridSpan w:val="3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всего учебного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Внеурочная деятельность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</w:tr>
      <w:tr w:rsidR="002537A3">
        <w:trPr>
          <w:trHeight w:val="900"/>
        </w:trPr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www.Единыйурок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нлайн</w:t>
            </w:r>
            <w:proofErr w:type="spellEnd"/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67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3066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</w:tbl>
    <w:p w:rsidR="002537A3" w:rsidRDefault="002537A3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537A3" w:rsidRDefault="00FD6344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2537A3" w:rsidRDefault="00FD6344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2537A3" w:rsidRDefault="00FD6344">
      <w:pPr>
        <w:pStyle w:val="normal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1F438E" w:rsidRDefault="001F438E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Приложение № 3</w:t>
      </w:r>
    </w:p>
    <w:p w:rsidR="001F438E" w:rsidRDefault="001F438E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2537A3" w:rsidRDefault="00FD6344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Информация о количестве участников мероприятий Экспертного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1"/>
        <w:gridCol w:w="4333"/>
        <w:gridCol w:w="2543"/>
        <w:gridCol w:w="1868"/>
      </w:tblGrid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1868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участников</w:t>
            </w:r>
          </w:p>
        </w:tc>
      </w:tr>
      <w:tr w:rsidR="002537A3">
        <w:tc>
          <w:tcPr>
            <w:tcW w:w="9345" w:type="dxa"/>
            <w:gridSpan w:val="4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Третий квартал 2018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Всероссийское тестирование педагогов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информатизации системы образования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9345" w:type="dxa"/>
            <w:gridSpan w:val="4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Четвертый квартал 2018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безопасности в сети «Интернет»</w:t>
            </w:r>
          </w:p>
        </w:tc>
        <w:tc>
          <w:tcPr>
            <w:tcW w:w="2543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цифровой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контрольная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кибербезопасности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www.Единыйурок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 по формированию детского информационного пространства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турнир по информационной безопасности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Национальная премия за заслуги компаний и организаций в сфере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информационного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детей, подростков и молодежи «Премия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работники;</w:t>
            </w:r>
            <w:r>
              <w:rPr>
                <w:rFonts w:ascii="Times New Roman" w:eastAsia="Times New Roman" w:hAnsi="Times New Roman" w:cs="Times New Roman"/>
              </w:rPr>
              <w:br/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прав человека</w:t>
            </w:r>
          </w:p>
        </w:tc>
        <w:tc>
          <w:tcPr>
            <w:tcW w:w="2543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Турнир педагогов на знание прав человека и ребенка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9345" w:type="dxa"/>
            <w:gridSpan w:val="4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Первый квартал 2019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молодежному предпринимательству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Bunessteeen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9345" w:type="dxa"/>
            <w:gridSpan w:val="4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Второй квартал 2019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урок парламентаризма</w:t>
            </w:r>
          </w:p>
        </w:tc>
        <w:tc>
          <w:tcPr>
            <w:tcW w:w="2543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9345" w:type="dxa"/>
            <w:gridSpan w:val="4"/>
          </w:tcPr>
          <w:p w:rsidR="002537A3" w:rsidRDefault="00FD63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всего учебного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Внеурочная деятельность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rPr>
          <w:trHeight w:val="900"/>
        </w:trPr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www.Единыйурок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нлайн</w:t>
            </w:r>
            <w:proofErr w:type="spellEnd"/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учреждений.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433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2543" w:type="dxa"/>
          </w:tcPr>
          <w:p w:rsidR="002537A3" w:rsidRDefault="00FD6344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37A3" w:rsidRDefault="002537A3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sectPr w:rsidR="002537A3" w:rsidSect="001F438E">
      <w:pgSz w:w="11906" w:h="16838"/>
      <w:pgMar w:top="426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E16"/>
    <w:multiLevelType w:val="multilevel"/>
    <w:tmpl w:val="257423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FCA50A6"/>
    <w:multiLevelType w:val="multilevel"/>
    <w:tmpl w:val="71B6EC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33795CAC"/>
    <w:multiLevelType w:val="multilevel"/>
    <w:tmpl w:val="FDF445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3434D3"/>
    <w:multiLevelType w:val="multilevel"/>
    <w:tmpl w:val="A37AFE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37A3"/>
    <w:rsid w:val="001128A8"/>
    <w:rsid w:val="001F438E"/>
    <w:rsid w:val="002537A3"/>
    <w:rsid w:val="00720142"/>
    <w:rsid w:val="00FD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A8"/>
  </w:style>
  <w:style w:type="paragraph" w:styleId="1">
    <w:name w:val="heading 1"/>
    <w:basedOn w:val="normal"/>
    <w:next w:val="normal"/>
    <w:rsid w:val="002537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37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537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537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537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537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37A3"/>
  </w:style>
  <w:style w:type="table" w:customStyle="1" w:styleId="TableNormal">
    <w:name w:val="Table Normal"/>
    <w:rsid w:val="002537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37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537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37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537A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NBokova@sena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2501</Words>
  <Characters>14259</Characters>
  <Application>Microsoft Office Word</Application>
  <DocSecurity>0</DocSecurity>
  <Lines>118</Lines>
  <Paragraphs>33</Paragraphs>
  <ScaleCrop>false</ScaleCrop>
  <Company>Krokoz™ Inc.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2018-08-08T08:13:00Z</dcterms:created>
  <dcterms:modified xsi:type="dcterms:W3CDTF">2018-08-08T08:28:00Z</dcterms:modified>
</cp:coreProperties>
</file>