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46" w:rsidRPr="006425D6" w:rsidRDefault="005B0346" w:rsidP="005B034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425D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Функциональная грамотность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Что такое «функциональная грамотность»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Одно из наиболее распространенных определений функциональной грамотности дал советский и российский </w:t>
      </w:r>
      <w:proofErr w:type="gramStart"/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лингвист</w:t>
      </w:r>
      <w:proofErr w:type="gramEnd"/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психолог Алексей Алексеевич Леонтьев: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Такое определение очень созвучно тому, которое используется в Программе международного сравнительного исследования PISA – исследования функциональной грамотности 15-летних школьников. Основной вопрос данного исследования: </w:t>
      </w:r>
      <w:proofErr w:type="gramStart"/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«Обладают ли обучающиеся 15-летнего возраста навыками и умениями, необходимыми им для полноценного функционирования в обществе?».</w:t>
      </w:r>
      <w:proofErr w:type="gramEnd"/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5B0346" w:rsidRPr="006425D6" w:rsidRDefault="005B0346" w:rsidP="005B0346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ru-RU"/>
        </w:rPr>
      </w:pPr>
      <w:r w:rsidRPr="006425D6">
        <w:rPr>
          <w:rFonts w:ascii="inherit" w:eastAsia="Times New Roman" w:hAnsi="inherit" w:cs="Arial"/>
          <w:b/>
          <w:bCs/>
          <w:color w:val="404040"/>
          <w:sz w:val="21"/>
          <w:szCs w:val="21"/>
          <w:bdr w:val="none" w:sz="0" w:space="0" w:color="auto" w:frame="1"/>
          <w:lang w:eastAsia="ru-RU"/>
        </w:rPr>
        <w:t>Функциональная грамотность - это уровень знаний, умений и навыков, обеспечивающий нормальное функционирование личности в системе социальных отношений, который считается минимально необходимым для осуществления жизнедеятельности личности в конкретной культурной среде.</w:t>
      </w:r>
    </w:p>
    <w:p w:rsidR="005B0346" w:rsidRPr="006425D6" w:rsidRDefault="005B0346" w:rsidP="005B0346">
      <w:pPr>
        <w:shd w:val="clear" w:color="auto" w:fill="FFFFFF"/>
        <w:spacing w:before="100" w:beforeAutospacing="1" w:after="100" w:afterAutospacing="1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lang w:eastAsia="ru-RU"/>
        </w:rPr>
      </w:pPr>
      <w:r w:rsidRPr="006425D6"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lang w:eastAsia="ru-RU"/>
        </w:rPr>
        <w:t>Составляющие функциональной грамотности</w:t>
      </w:r>
    </w:p>
    <w:tbl>
      <w:tblPr>
        <w:tblW w:w="8817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6292"/>
      </w:tblGrid>
      <w:tr w:rsidR="005B0346" w:rsidRPr="006425D6" w:rsidTr="000028CC">
        <w:tc>
          <w:tcPr>
            <w:tcW w:w="249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​​1. Читательская грамотность</w:t>
            </w:r>
          </w:p>
        </w:tc>
        <w:tc>
          <w:tcPr>
            <w:tcW w:w="62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​</w:t>
            </w:r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Способность человека понимать и использовать </w:t>
            </w:r>
            <w:proofErr w:type="gramStart"/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письменное</w:t>
            </w:r>
            <w:proofErr w:type="gramEnd"/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тексты, размышлять о них и заниматься чтением, чтобы достигать своих целей, расширять свои знания и возможности, участвовать в социальной жизни</w:t>
            </w:r>
          </w:p>
        </w:tc>
      </w:tr>
      <w:tr w:rsidR="005B0346" w:rsidRPr="006425D6" w:rsidTr="000028CC">
        <w:tc>
          <w:tcPr>
            <w:tcW w:w="249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​2. Естественнонаучная грамотность​</w:t>
            </w:r>
          </w:p>
        </w:tc>
        <w:tc>
          <w:tcPr>
            <w:tcW w:w="62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​Способность человека занимать активную гражданскую позицию по вопросам, связанным с </w:t>
            </w:r>
            <w:proofErr w:type="gramStart"/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естественно-научными</w:t>
            </w:r>
            <w:proofErr w:type="gramEnd"/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 xml:space="preserve"> идеями</w:t>
            </w:r>
          </w:p>
        </w:tc>
      </w:tr>
      <w:tr w:rsidR="005B0346" w:rsidRPr="006425D6" w:rsidTr="000028CC">
        <w:tc>
          <w:tcPr>
            <w:tcW w:w="249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​3. Математическая грамотность​</w:t>
            </w:r>
          </w:p>
        </w:tc>
        <w:tc>
          <w:tcPr>
            <w:tcW w:w="62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​Способность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</w:t>
            </w:r>
          </w:p>
        </w:tc>
      </w:tr>
      <w:tr w:rsidR="005B0346" w:rsidRPr="006425D6" w:rsidTr="000028CC">
        <w:tc>
          <w:tcPr>
            <w:tcW w:w="249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​4. Финансовая грамотность​</w:t>
            </w:r>
          </w:p>
        </w:tc>
        <w:tc>
          <w:tcPr>
            <w:tcW w:w="62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​Совокупность знаний, навыков и установок в сфере финансового поведения человека, ведущих к улучшению благосостояния и повышению качества жизни.</w:t>
            </w:r>
          </w:p>
        </w:tc>
      </w:tr>
      <w:tr w:rsidR="005B0346" w:rsidRPr="006425D6" w:rsidTr="000028CC">
        <w:tc>
          <w:tcPr>
            <w:tcW w:w="249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​5. Креативное мышление</w:t>
            </w:r>
          </w:p>
        </w:tc>
        <w:tc>
          <w:tcPr>
            <w:tcW w:w="62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​Способность продуктивно участвовать в  процессе выработки, оценки и  совершенствовании идей, направленных на получение инновационных и эффективных решений, и/или нового знания, и/или эффектного выражения воображения.</w:t>
            </w:r>
          </w:p>
        </w:tc>
      </w:tr>
      <w:tr w:rsidR="005B0346" w:rsidRPr="006425D6" w:rsidTr="000028CC">
        <w:tc>
          <w:tcPr>
            <w:tcW w:w="249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4F4F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ru-RU"/>
              </w:rPr>
              <w:t>​6. Глобальные компетенции</w:t>
            </w:r>
          </w:p>
        </w:tc>
        <w:tc>
          <w:tcPr>
            <w:tcW w:w="622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B0346" w:rsidRPr="006425D6" w:rsidRDefault="005B0346" w:rsidP="000028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425D6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​Сочетание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глобальных проблем​</w:t>
            </w:r>
          </w:p>
        </w:tc>
      </w:tr>
    </w:tbl>
    <w:p w:rsidR="005B0346" w:rsidRPr="006425D6" w:rsidRDefault="005B0346" w:rsidP="005B0346">
      <w:pPr>
        <w:shd w:val="clear" w:color="auto" w:fill="FFFFFF"/>
        <w:spacing w:before="100" w:beforeAutospacing="1" w:after="100" w:afterAutospacing="1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1"/>
          <w:szCs w:val="21"/>
          <w:lang w:eastAsia="ru-RU"/>
        </w:rPr>
      </w:pPr>
    </w:p>
    <w:p w:rsidR="005B034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</w:pP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lastRenderedPageBreak/>
        <w:t>Банк заданий по функциональной грамотности:</w:t>
      </w: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6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http://skiv.instrao.ru/bank-zadaniy/chitatelskaya-gramotnost/</w:t>
        </w:r>
      </w:hyperlink>
      <w:r w:rsidRPr="006425D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11298EF" wp14:editId="5181DEEF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Читательская грамотность: </w:t>
      </w:r>
      <w:hyperlink r:id="rId9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http://skiv.instrao.ru/bank-zadaniy/chitatelskaya-gramotnost/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Математическая грамотность:</w:t>
      </w: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0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http://skiv.instrao.ru/bank-zadaniy/matematicheskaya-gramotnost/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Естественнонаучная грамотность:</w:t>
      </w: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1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http://skiv.instrao.ru/bank-zadaniy/estestvennonauchnaya-gramotnost/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Глобальные компетенции:</w:t>
      </w: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2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http://skiv.instrao.ru/bank-zadaniy/globalnye-kompetentsii/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Финансовая грамотность:</w:t>
      </w: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3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http://skiv.instrao.ru/bank-zadaniy/finansovaya-gramotnost/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Креативное мышление:</w:t>
      </w: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4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http://skiv.instrao.ru/bank-zadaniy/kreativnoe-myshlenie/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Calibri" w:eastAsia="Times New Roman" w:hAnsi="Calibri" w:cs="Tahoma"/>
          <w:b/>
          <w:bCs/>
          <w:i/>
          <w:iCs/>
          <w:color w:val="555555"/>
          <w:shd w:val="clear" w:color="auto" w:fill="FFFFFF"/>
          <w:lang w:eastAsia="ru-RU"/>
        </w:rPr>
        <w:t>Открытые задания PISA:</w:t>
      </w:r>
      <w:r w:rsidRPr="006425D6">
        <w:rPr>
          <w:rFonts w:ascii="Calibri" w:eastAsia="Times New Roman" w:hAnsi="Calibri" w:cs="Tahoma"/>
          <w:color w:val="555555"/>
          <w:shd w:val="clear" w:color="auto" w:fill="FFFFFF"/>
          <w:lang w:eastAsia="ru-RU"/>
        </w:rPr>
        <w:t>   </w:t>
      </w:r>
      <w:hyperlink r:id="rId15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https://fioco.ru/примеры-задач-pisa</w:t>
        </w:r>
      </w:hyperlink>
      <w:r w:rsidRPr="006425D6">
        <w:rPr>
          <w:rFonts w:ascii="Calibri" w:eastAsia="Times New Roman" w:hAnsi="Calibri" w:cs="Tahoma"/>
          <w:color w:val="555555"/>
          <w:shd w:val="clear" w:color="auto" w:fill="FFFFFF"/>
          <w:lang w:eastAsia="ru-RU"/>
        </w:rPr>
        <w:t> 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Электронный банк заданий по ФГ</w:t>
      </w:r>
      <w:proofErr w:type="gramStart"/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6425D6">
        <w:rPr>
          <w:rFonts w:ascii="Calibri" w:eastAsia="Times New Roman" w:hAnsi="Calibri" w:cs="Tahoma"/>
          <w:color w:val="555555"/>
          <w:sz w:val="24"/>
          <w:szCs w:val="24"/>
          <w:shd w:val="clear" w:color="auto" w:fill="FFFFFF"/>
          <w:lang w:eastAsia="ru-RU"/>
        </w:rPr>
        <w:t>:</w:t>
      </w:r>
      <w:proofErr w:type="gramEnd"/>
      <w:r w:rsidRPr="006425D6">
        <w:rPr>
          <w:rFonts w:ascii="Calibri" w:eastAsia="Times New Roman" w:hAnsi="Calibri" w:cs="Tahoma"/>
          <w:color w:val="555555"/>
          <w:shd w:val="clear" w:color="auto" w:fill="FFFFFF"/>
          <w:lang w:eastAsia="ru-RU"/>
        </w:rPr>
        <w:t> </w:t>
      </w:r>
      <w:hyperlink r:id="rId16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https://fg.resh.edu.ru/</w:t>
        </w:r>
      </w:hyperlink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  <w:r w:rsidRPr="006425D6">
        <w:rPr>
          <w:rFonts w:ascii="Calibri" w:eastAsia="Times New Roman" w:hAnsi="Calibri" w:cs="Tahoma"/>
          <w:color w:val="555555"/>
          <w:sz w:val="27"/>
          <w:szCs w:val="27"/>
          <w:shd w:val="clear" w:color="auto" w:fill="FFFFFF"/>
          <w:lang w:eastAsia="ru-RU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</w:t>
      </w:r>
      <w:r w:rsidRPr="006425D6">
        <w:rPr>
          <w:rFonts w:ascii="Calibri" w:eastAsia="Times New Roman" w:hAnsi="Calibri" w:cs="Tahoma"/>
          <w:color w:val="555555"/>
          <w:shd w:val="clear" w:color="auto" w:fill="FFFFFF"/>
          <w:lang w:eastAsia="ru-RU"/>
        </w:rPr>
        <w:t>: </w:t>
      </w:r>
      <w:hyperlink r:id="rId17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https://resh.edu.ru/instruction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imes New Roman" w:eastAsia="Times New Roman" w:hAnsi="Times New Roman" w:cs="Times New Roman"/>
          <w:b/>
          <w:bCs/>
          <w:i/>
          <w:iCs/>
          <w:color w:val="555555"/>
          <w:sz w:val="27"/>
          <w:szCs w:val="27"/>
          <w:shd w:val="clear" w:color="auto" w:fill="FFFFFF"/>
          <w:lang w:eastAsia="ru-RU"/>
        </w:rPr>
        <w:t>Открытый банк заданий для оценки естественнонаучной грамотности ФГБНУ ФИПИ:</w:t>
      </w:r>
      <w:hyperlink r:id="rId18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https://fipi.ru/otkrytyy-bank-zadaniy-dlya-otsenki-yestestvennonauchnoy-gramotnosti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Лаборатория функциональной грамотности:</w:t>
      </w:r>
      <w:hyperlink r:id="rId19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https://rosuchebnik.ru/material/laboratoriya-funktsionalnoy-gramotnosti/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proofErr w:type="spellStart"/>
        <w:proofErr w:type="gramStart"/>
        <w:r w:rsidRPr="006425D6">
          <w:rPr>
            <w:rFonts w:ascii="Tahoma" w:eastAsia="Times New Roman" w:hAnsi="Tahoma" w:cs="Tahoma"/>
            <w:color w:val="36AFEB"/>
            <w:sz w:val="21"/>
            <w:szCs w:val="21"/>
            <w:u w:val="single"/>
            <w:lang w:eastAsia="ru-RU"/>
          </w:rPr>
          <w:t>Вебинар</w:t>
        </w:r>
        <w:proofErr w:type="spellEnd"/>
        <w:r w:rsidRPr="006425D6">
          <w:rPr>
            <w:rFonts w:ascii="Tahoma" w:eastAsia="Times New Roman" w:hAnsi="Tahoma" w:cs="Tahoma"/>
            <w:color w:val="36AFEB"/>
            <w:sz w:val="21"/>
            <w:szCs w:val="21"/>
            <w:u w:val="single"/>
            <w:lang w:eastAsia="ru-RU"/>
          </w:rPr>
          <w:t xml:space="preserve"> Колесниковой Н.Б., главного редактора издательства «Просвещение»)</w:t>
        </w:r>
      </w:hyperlink>
      <w:proofErr w:type="gramEnd"/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Электронный банк заданий для оценки функциональной грамотности (</w:t>
      </w:r>
      <w:hyperlink r:id="rId21" w:history="1">
        <w:r w:rsidRPr="006425D6">
          <w:rPr>
            <w:rFonts w:ascii="Tahoma" w:eastAsia="Times New Roman" w:hAnsi="Tahoma" w:cs="Tahoma"/>
            <w:color w:val="36AFEB"/>
            <w:sz w:val="21"/>
            <w:szCs w:val="21"/>
            <w:u w:val="single"/>
            <w:lang w:eastAsia="ru-RU"/>
          </w:rPr>
          <w:t>платформа РЭШ</w:t>
        </w:r>
      </w:hyperlink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МЕТОДИЧЕСКИЕ материалы по функциональной грамотности</w:t>
      </w: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: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- </w:t>
      </w:r>
      <w:hyperlink r:id="rId22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https://pedsovet66.irro.ru/?page_id=436</w:t>
        </w:r>
      </w:hyperlink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?,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</w:t>
      </w:r>
      <w:hyperlink r:id="rId23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http://ntf-iro.ru/metodmaterialy-mop-fg/</w:t>
        </w:r>
      </w:hyperlink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,</w:t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 </w:t>
      </w:r>
      <w:hyperlink r:id="rId24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https://pedsovet66.irro.ru/?page_id=425</w:t>
        </w:r>
      </w:hyperlink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Дистанционные курсы «Функциональная грамотность: развиваем в школе» программы развития педагогов «Я Учитель»</w:t>
      </w:r>
      <w:hyperlink r:id="rId25" w:history="1">
        <w:r w:rsidRPr="006425D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 https://yandex.ru/promo/education/specpro/fungram</w:t>
        </w:r>
      </w:hyperlink>
    </w:p>
    <w:p w:rsidR="005B0346" w:rsidRPr="006425D6" w:rsidRDefault="005B0346" w:rsidP="005B034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5B0346" w:rsidRPr="006425D6" w:rsidRDefault="005B0346" w:rsidP="005B0346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E5260FE" wp14:editId="395FFF3D">
            <wp:extent cx="1336040" cy="1336040"/>
            <wp:effectExtent l="0" t="0" r="0" b="0"/>
            <wp:docPr id="2" name="Рисунок 2" descr="funkts-gramotnostMontazhnaya-oblast-1.png">
              <a:hlinkClick xmlns:a="http://schemas.openxmlformats.org/drawingml/2006/main" r:id="rId26" tooltip="&quot;funkts-gramotnostMontazhnaya-oblast-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kts-gramotnostMontazhnaya-oblast-1.png">
                      <a:hlinkClick r:id="rId26" tooltip="&quot;funkts-gramotnostMontazhnaya-oblast-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46" w:rsidRPr="006425D6" w:rsidRDefault="005B0346" w:rsidP="005B034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25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30C1C" w:rsidRDefault="005B0346" w:rsidP="005B0346">
      <w:r w:rsidRPr="006425D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 wp14:anchorId="32CF9084" wp14:editId="5FE7EB1F">
            <wp:extent cx="1336040" cy="1336040"/>
            <wp:effectExtent l="0" t="0" r="0" b="0"/>
            <wp:docPr id="3" name="Рисунок 3" descr="funkts-gramotnost-2Montazhnaya-oblast-1.png">
              <a:hlinkClick xmlns:a="http://schemas.openxmlformats.org/drawingml/2006/main" r:id="rId28" tooltip="&quot;funkts-gramotnost-2Montazhnaya-oblast-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kts-gramotnost-2Montazhnaya-oblast-1.png">
                      <a:hlinkClick r:id="rId28" tooltip="&quot;funkts-gramotnost-2Montazhnaya-oblast-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DCF"/>
    <w:multiLevelType w:val="multilevel"/>
    <w:tmpl w:val="315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46"/>
    <w:rsid w:val="00495D8F"/>
    <w:rsid w:val="005B0346"/>
    <w:rsid w:val="00D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kiv.instrao.ru/bank-zadaniy/finansovaya-gramotnost/" TargetMode="External"/><Relationship Id="rId18" Type="http://schemas.openxmlformats.org/officeDocument/2006/relationships/hyperlink" Target="https://fipi.ru/otkrytyy-bank-zadaniy-dlya-otsenki-yestestvennonauchnoy-gramotnosti" TargetMode="External"/><Relationship Id="rId26" Type="http://schemas.openxmlformats.org/officeDocument/2006/relationships/hyperlink" Target="http://16school.ru/upload/scpolevskaya16_new/images/big/22/b2/22b206e79e4ee38b3b06c995358fe2d1.p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g.resh.edu.ru/?redirectAfterLogin=%2FdiagnosticWorksOnline" TargetMode="Externa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://skiv.instrao.ru/bank-zadaniy/globalnye-kompetentsii/" TargetMode="External"/><Relationship Id="rId17" Type="http://schemas.openxmlformats.org/officeDocument/2006/relationships/hyperlink" Target="https://resh.edu.ru/instruction" TargetMode="External"/><Relationship Id="rId25" Type="http://schemas.openxmlformats.org/officeDocument/2006/relationships/hyperlink" Target="https://yandex.ru/promo/education/specpro/fungr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resh.edu.ru/" TargetMode="External"/><Relationship Id="rId20" Type="http://schemas.openxmlformats.org/officeDocument/2006/relationships/hyperlink" Target="https://events.webinar.ru/8478259/4850616/record-new/4952330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chitatelskaya-gramotnost/" TargetMode="External"/><Relationship Id="rId11" Type="http://schemas.openxmlformats.org/officeDocument/2006/relationships/hyperlink" Target="http://skiv.instrao.ru/bank-zadaniy/estestvennonauchnaya-gramotnost/" TargetMode="External"/><Relationship Id="rId24" Type="http://schemas.openxmlformats.org/officeDocument/2006/relationships/hyperlink" Target="https://pedsovet66.irro.ru/?page_id=4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%D0%BF%D1%80%D0%B8%D0%BC%D0%B5%D1%80%D1%8B-%D0%B7%D0%B0%D0%B4%D0%B0%D1%87-pisa" TargetMode="External"/><Relationship Id="rId23" Type="http://schemas.openxmlformats.org/officeDocument/2006/relationships/hyperlink" Target="http://ntf-iro.ru/metodmaterialy-mop-fg/" TargetMode="External"/><Relationship Id="rId28" Type="http://schemas.openxmlformats.org/officeDocument/2006/relationships/hyperlink" Target="http://16school.ru/upload/scpolevskaya16_new/images/big/18/2d/182d78fb3ee72d4fc0292d4188c5b5cb.png" TargetMode="External"/><Relationship Id="rId10" Type="http://schemas.openxmlformats.org/officeDocument/2006/relationships/hyperlink" Target="http://skiv.instrao.ru/bank-zadaniy/matematicheskaya-gramotnost/" TargetMode="External"/><Relationship Id="rId19" Type="http://schemas.openxmlformats.org/officeDocument/2006/relationships/hyperlink" Target="https://rosuchebnik.ru/material/laboratoriya-funktsionalnoy-gramotnosti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kreativnoe-myshlenie/" TargetMode="External"/><Relationship Id="rId22" Type="http://schemas.openxmlformats.org/officeDocument/2006/relationships/hyperlink" Target="https://pedsovet66.irro.ru/?page_id=436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2021-11-23T05:47:00Z</dcterms:created>
  <dcterms:modified xsi:type="dcterms:W3CDTF">2021-11-23T05:48:00Z</dcterms:modified>
</cp:coreProperties>
</file>